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5BB9E" w14:textId="004F9550" w:rsidR="00020D33" w:rsidRPr="002F6224" w:rsidRDefault="00020D33" w:rsidP="00020D33">
      <w:pPr>
        <w:pStyle w:val="3GPPHeader"/>
        <w:spacing w:after="60"/>
        <w:rPr>
          <w:szCs w:val="24"/>
        </w:rPr>
      </w:pPr>
      <w:bookmarkStart w:id="0" w:name="_GoBack"/>
      <w:bookmarkEnd w:id="0"/>
      <w:r w:rsidRPr="002F6224">
        <w:t xml:space="preserve">3GPP TSG-RAN WG1 Meeting </w:t>
      </w:r>
      <w:r w:rsidRPr="002F6224">
        <w:rPr>
          <w:szCs w:val="24"/>
        </w:rPr>
        <w:t>#10</w:t>
      </w:r>
      <w:r w:rsidRPr="002F6224">
        <w:rPr>
          <w:szCs w:val="24"/>
          <w:lang w:val="en-150"/>
        </w:rPr>
        <w:t>2</w:t>
      </w:r>
      <w:r w:rsidRPr="002F6224">
        <w:rPr>
          <w:szCs w:val="24"/>
        </w:rPr>
        <w:t>-e</w:t>
      </w:r>
      <w:r w:rsidRPr="002F6224">
        <w:rPr>
          <w:szCs w:val="24"/>
        </w:rPr>
        <w:tab/>
        <w:t>R1-</w:t>
      </w:r>
      <w:r w:rsidR="002F6224" w:rsidRPr="002F6224">
        <w:rPr>
          <w:szCs w:val="24"/>
        </w:rPr>
        <w:t>2006436</w:t>
      </w:r>
    </w:p>
    <w:p w14:paraId="526C0E0A" w14:textId="12FB7916" w:rsidR="0065207C" w:rsidRDefault="00020D33" w:rsidP="00020D33">
      <w:pPr>
        <w:pStyle w:val="3GPPHeader"/>
        <w:rPr>
          <w:rFonts w:cs="Arial"/>
          <w:lang w:val="en-US"/>
        </w:rPr>
      </w:pPr>
      <w:r w:rsidRPr="00516D10">
        <w:rPr>
          <w:szCs w:val="24"/>
        </w:rPr>
        <w:t xml:space="preserve">e-Meeting, </w:t>
      </w:r>
      <w:r>
        <w:rPr>
          <w:szCs w:val="24"/>
          <w:lang w:val="en-150"/>
        </w:rPr>
        <w:t>August</w:t>
      </w:r>
      <w:r w:rsidRPr="00516D10">
        <w:rPr>
          <w:szCs w:val="24"/>
        </w:rPr>
        <w:t xml:space="preserve"> </w:t>
      </w:r>
      <w:r>
        <w:rPr>
          <w:szCs w:val="24"/>
          <w:lang w:val="en-150"/>
        </w:rPr>
        <w:t>17</w:t>
      </w:r>
      <w:proofErr w:type="spellStart"/>
      <w:r w:rsidRPr="00516D10">
        <w:rPr>
          <w:szCs w:val="24"/>
          <w:vertAlign w:val="superscript"/>
        </w:rPr>
        <w:t>th</w:t>
      </w:r>
      <w:proofErr w:type="spellEnd"/>
      <w:r w:rsidRPr="00516D10">
        <w:rPr>
          <w:szCs w:val="24"/>
        </w:rPr>
        <w:t xml:space="preserve"> </w:t>
      </w:r>
      <w:r w:rsidRPr="00E24469">
        <w:rPr>
          <w:szCs w:val="24"/>
        </w:rPr>
        <w:t>–</w:t>
      </w:r>
      <w:r>
        <w:rPr>
          <w:szCs w:val="24"/>
          <w:lang w:val="en-150"/>
        </w:rPr>
        <w:t xml:space="preserve"> 28</w:t>
      </w:r>
      <w:proofErr w:type="spellStart"/>
      <w:r w:rsidRPr="00516D10">
        <w:rPr>
          <w:szCs w:val="24"/>
          <w:vertAlign w:val="superscript"/>
        </w:rPr>
        <w:t>th</w:t>
      </w:r>
      <w:proofErr w:type="spellEnd"/>
      <w:r w:rsidRPr="00516D10">
        <w:rPr>
          <w:szCs w:val="24"/>
        </w:rPr>
        <w:t>, 2020</w:t>
      </w:r>
      <w:r w:rsidR="0060422A">
        <w:rPr>
          <w:rFonts w:cs="Arial"/>
          <w:lang w:val="en-US"/>
        </w:rPr>
        <w:tab/>
        <w:t xml:space="preserve">(Revision of </w:t>
      </w:r>
      <w:r w:rsidR="0060422A" w:rsidRPr="0060422A">
        <w:rPr>
          <w:rFonts w:cs="Arial"/>
          <w:lang w:val="en-US"/>
        </w:rPr>
        <w:t>R1-200</w:t>
      </w:r>
      <w:r w:rsidR="00122782">
        <w:rPr>
          <w:rFonts w:cs="Arial"/>
        </w:rPr>
        <w:t>4545</w:t>
      </w:r>
      <w:r w:rsidR="0060422A">
        <w:rPr>
          <w:rFonts w:cs="Arial"/>
          <w:lang w:val="en-US"/>
        </w:rPr>
        <w:t>)</w:t>
      </w:r>
    </w:p>
    <w:p w14:paraId="7FD0A2FD" w14:textId="77777777" w:rsidR="00E90E49" w:rsidRPr="0065207C" w:rsidRDefault="00E90E49" w:rsidP="00357380">
      <w:pPr>
        <w:pStyle w:val="3GPPHeader"/>
        <w:rPr>
          <w:lang w:val="en-US"/>
        </w:rPr>
      </w:pPr>
    </w:p>
    <w:p w14:paraId="0209C9BC" w14:textId="49935B2E" w:rsidR="00E90E49" w:rsidRPr="0020754D" w:rsidRDefault="00E90E49" w:rsidP="00311702">
      <w:pPr>
        <w:pStyle w:val="3GPPHeader"/>
        <w:rPr>
          <w:rFonts w:cs="Arial"/>
          <w:sz w:val="22"/>
          <w:lang w:val="sv-FI" w:eastAsia="en-US"/>
        </w:rPr>
      </w:pPr>
      <w:r w:rsidRPr="008F1C4E">
        <w:rPr>
          <w:sz w:val="22"/>
          <w:szCs w:val="22"/>
          <w:lang w:val="sv-FI"/>
        </w:rPr>
        <w:t>Agenda Item:</w:t>
      </w:r>
      <w:r w:rsidRPr="008F1C4E">
        <w:rPr>
          <w:sz w:val="22"/>
          <w:szCs w:val="22"/>
          <w:lang w:val="sv-FI"/>
        </w:rPr>
        <w:tab/>
      </w:r>
      <w:r w:rsidR="0020754D">
        <w:rPr>
          <w:rFonts w:cs="Arial"/>
          <w:sz w:val="22"/>
          <w:lang w:val="sv-FI"/>
        </w:rPr>
        <w:t>7.2.4.2.</w:t>
      </w:r>
      <w:r w:rsidR="003050FD">
        <w:rPr>
          <w:rFonts w:cs="Arial"/>
          <w:sz w:val="22"/>
          <w:lang w:val="sv-FI"/>
        </w:rPr>
        <w:t>3</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5A56FDFF" w:rsidR="00E90E49" w:rsidRPr="0020754D" w:rsidRDefault="003D3C45" w:rsidP="00311702">
      <w:pPr>
        <w:pStyle w:val="3GPPHeader"/>
        <w:rPr>
          <w:sz w:val="22"/>
          <w:szCs w:val="22"/>
        </w:rPr>
      </w:pPr>
      <w:r>
        <w:rPr>
          <w:sz w:val="22"/>
          <w:szCs w:val="22"/>
        </w:rPr>
        <w:t>Title:</w:t>
      </w:r>
      <w:r w:rsidR="00E90E49" w:rsidRPr="00CE0424">
        <w:rPr>
          <w:sz w:val="22"/>
          <w:szCs w:val="22"/>
        </w:rPr>
        <w:tab/>
      </w:r>
      <w:r w:rsidR="003050FD" w:rsidRPr="003050FD">
        <w:rPr>
          <w:sz w:val="22"/>
          <w:szCs w:val="22"/>
        </w:rPr>
        <w:t>Other outstanding resource allocation issues</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77F87">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FED79A3" w14:textId="54EACB91" w:rsidR="005D715E" w:rsidRDefault="00F67DFD" w:rsidP="00F67DFD">
      <w:pPr>
        <w:pStyle w:val="BodyText"/>
      </w:pPr>
      <w:r>
        <w:t xml:space="preserve">In </w:t>
      </w:r>
      <w:r w:rsidR="00B6474D">
        <w:t xml:space="preserve">this paper we discuss issues related to the </w:t>
      </w:r>
      <w:r w:rsidR="007905FB">
        <w:t xml:space="preserve">system-level </w:t>
      </w:r>
      <w:r w:rsidR="00B6474D">
        <w:t>coexistence between Mode-1 and Mode-2.</w:t>
      </w:r>
    </w:p>
    <w:p w14:paraId="70EF42B3" w14:textId="5BB0E8B4" w:rsidR="00DB5497" w:rsidRDefault="00230D18" w:rsidP="00D13745">
      <w:pPr>
        <w:pStyle w:val="Heading1"/>
      </w:pPr>
      <w:bookmarkStart w:id="1" w:name="_Ref178064866"/>
      <w:r>
        <w:t>2</w:t>
      </w:r>
      <w:r>
        <w:tab/>
      </w:r>
      <w:bookmarkEnd w:id="1"/>
      <w:r w:rsidR="007905FB">
        <w:t>System-level c</w:t>
      </w:r>
      <w:r w:rsidR="003050FD">
        <w:t>oexistence of Mode 1 and Mode 2</w:t>
      </w:r>
    </w:p>
    <w:p w14:paraId="04F72D19" w14:textId="10EAB3D9" w:rsidR="005D715E" w:rsidRPr="002F6224" w:rsidRDefault="005D715E" w:rsidP="005D715E">
      <w:pPr>
        <w:rPr>
          <w:rFonts w:ascii="Arial" w:hAnsi="Arial"/>
          <w:lang w:eastAsia="zh-CN"/>
        </w:rPr>
      </w:pPr>
      <w:r w:rsidRPr="002F6224">
        <w:rPr>
          <w:rFonts w:ascii="Arial" w:hAnsi="Arial"/>
          <w:lang w:eastAsia="zh-CN"/>
        </w:rPr>
        <w:t>In RAN1#99, the following was agreed:</w:t>
      </w:r>
    </w:p>
    <w:tbl>
      <w:tblPr>
        <w:tblStyle w:val="TableGrid"/>
        <w:tblW w:w="0" w:type="auto"/>
        <w:tblLook w:val="04A0" w:firstRow="1" w:lastRow="0" w:firstColumn="1" w:lastColumn="0" w:noHBand="0" w:noVBand="1"/>
      </w:tblPr>
      <w:tblGrid>
        <w:gridCol w:w="9629"/>
      </w:tblGrid>
      <w:tr w:rsidR="005D715E" w14:paraId="22A56A8B" w14:textId="77777777" w:rsidTr="005D715E">
        <w:tc>
          <w:tcPr>
            <w:tcW w:w="9629" w:type="dxa"/>
          </w:tcPr>
          <w:p w14:paraId="3EF51177" w14:textId="77777777" w:rsidR="005D715E" w:rsidRDefault="005D715E" w:rsidP="005D715E">
            <w:pPr>
              <w:spacing w:before="240"/>
              <w:rPr>
                <w:rFonts w:ascii="Times" w:hAnsi="Times"/>
              </w:rPr>
            </w:pPr>
            <w:r>
              <w:rPr>
                <w:highlight w:val="green"/>
              </w:rPr>
              <w:t>Agreements</w:t>
            </w:r>
            <w:r>
              <w:t>:</w:t>
            </w:r>
          </w:p>
          <w:p w14:paraId="5AABDA32" w14:textId="77777777" w:rsidR="005D715E" w:rsidRDefault="005D715E" w:rsidP="005D715E">
            <w:pPr>
              <w:pStyle w:val="ListParagraph"/>
              <w:numPr>
                <w:ilvl w:val="0"/>
                <w:numId w:val="44"/>
              </w:numPr>
              <w:overflowPunct/>
              <w:autoSpaceDE/>
              <w:autoSpaceDN/>
              <w:adjustRightInd/>
              <w:spacing w:after="160" w:line="256" w:lineRule="auto"/>
              <w:textAlignment w:val="auto"/>
              <w:rPr>
                <w:rFonts w:cs="Arial"/>
                <w:lang w:eastAsia="ja-JP"/>
              </w:rPr>
            </w:pPr>
            <w:r>
              <w:rPr>
                <w:rFonts w:cs="Arial"/>
                <w:lang w:eastAsia="ja-JP"/>
              </w:rPr>
              <w:t>For dynamic grant, DCI indicates the time-frequency resource allocation with the signalling format used for SCI.</w:t>
            </w:r>
          </w:p>
          <w:p w14:paraId="3FA2D772" w14:textId="77777777" w:rsidR="005D715E" w:rsidRDefault="005D715E" w:rsidP="005D715E">
            <w:pPr>
              <w:pStyle w:val="ListParagraph"/>
              <w:numPr>
                <w:ilvl w:val="1"/>
                <w:numId w:val="44"/>
              </w:numPr>
              <w:overflowPunct/>
              <w:autoSpaceDE/>
              <w:autoSpaceDN/>
              <w:adjustRightInd/>
              <w:spacing w:after="160" w:line="256" w:lineRule="auto"/>
              <w:textAlignment w:val="auto"/>
              <w:rPr>
                <w:rFonts w:cs="Arial"/>
                <w:lang w:eastAsia="ja-JP"/>
              </w:rPr>
            </w:pPr>
            <w:r>
              <w:rPr>
                <w:rFonts w:cs="Arial"/>
                <w:lang w:eastAsia="ja-JP"/>
              </w:rPr>
              <w:t>In addition, the starting sub-channel for initial transmission is signalled in DCI.</w:t>
            </w:r>
          </w:p>
          <w:p w14:paraId="544D737A" w14:textId="77777777" w:rsidR="004552DA" w:rsidRDefault="004552DA" w:rsidP="004552DA">
            <w:pPr>
              <w:rPr>
                <w:lang w:val="en-US"/>
              </w:rPr>
            </w:pPr>
            <w:r>
              <w:rPr>
                <w:highlight w:val="green"/>
                <w:lang w:val="en-US"/>
              </w:rPr>
              <w:t>Agreements</w:t>
            </w:r>
            <w:r>
              <w:rPr>
                <w:lang w:val="en-US"/>
              </w:rPr>
              <w:t>:</w:t>
            </w:r>
          </w:p>
          <w:p w14:paraId="3A53FDFD" w14:textId="77777777" w:rsidR="004552DA" w:rsidRDefault="004552DA" w:rsidP="004552DA">
            <w:pPr>
              <w:pStyle w:val="ListParagraph"/>
              <w:numPr>
                <w:ilvl w:val="0"/>
                <w:numId w:val="45"/>
              </w:numPr>
              <w:overflowPunct/>
              <w:autoSpaceDE/>
              <w:autoSpaceDN/>
              <w:adjustRightInd/>
              <w:spacing w:after="160" w:line="254" w:lineRule="auto"/>
              <w:textAlignment w:val="auto"/>
              <w:rPr>
                <w:rFonts w:cs="Arial"/>
                <w:bCs/>
                <w:lang w:eastAsia="ja-JP"/>
              </w:rPr>
            </w:pPr>
            <w:r>
              <w:rPr>
                <w:rFonts w:cs="Arial"/>
                <w:bCs/>
                <w:lang w:eastAsia="ja-JP"/>
              </w:rPr>
              <w:t xml:space="preserve">At least the following parameters are part of a </w:t>
            </w:r>
            <w:r>
              <w:rPr>
                <w:rFonts w:cs="Arial"/>
                <w:bCs/>
                <w:lang w:val="en-US" w:eastAsia="ja-JP"/>
              </w:rPr>
              <w:t xml:space="preserve">SL </w:t>
            </w:r>
            <w:r>
              <w:rPr>
                <w:rFonts w:cs="Arial"/>
                <w:bCs/>
                <w:lang w:eastAsia="ja-JP"/>
              </w:rPr>
              <w:t>configured grant configuration:</w:t>
            </w:r>
          </w:p>
          <w:p w14:paraId="4343B79D"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 xml:space="preserve">Configuration index of the CG </w:t>
            </w:r>
          </w:p>
          <w:p w14:paraId="17E7E0AC"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Time offset (for type-1 only)</w:t>
            </w:r>
          </w:p>
          <w:p w14:paraId="35A2E9C5"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Time-f</w:t>
            </w:r>
            <w:proofErr w:type="spellStart"/>
            <w:r>
              <w:rPr>
                <w:rFonts w:cs="Arial"/>
                <w:bCs/>
                <w:lang w:eastAsia="ja-JP"/>
              </w:rPr>
              <w:t>requency</w:t>
            </w:r>
            <w:proofErr w:type="spellEnd"/>
            <w:r>
              <w:rPr>
                <w:rFonts w:cs="Arial"/>
                <w:bCs/>
                <w:lang w:eastAsia="ja-JP"/>
              </w:rPr>
              <w:t xml:space="preserve"> allocation</w:t>
            </w:r>
            <w:r>
              <w:rPr>
                <w:rFonts w:cs="Arial"/>
                <w:bCs/>
                <w:lang w:val="en-US" w:eastAsia="ja-JP"/>
              </w:rPr>
              <w:t xml:space="preserve"> (for type-1 only)</w:t>
            </w:r>
          </w:p>
          <w:p w14:paraId="45EF08C0" w14:textId="77777777" w:rsidR="004552DA" w:rsidRDefault="004552DA" w:rsidP="004552DA">
            <w:pPr>
              <w:pStyle w:val="ListParagraph"/>
              <w:numPr>
                <w:ilvl w:val="2"/>
                <w:numId w:val="45"/>
              </w:numPr>
              <w:overflowPunct/>
              <w:autoSpaceDE/>
              <w:autoSpaceDN/>
              <w:adjustRightInd/>
              <w:spacing w:after="160" w:line="254" w:lineRule="auto"/>
              <w:textAlignment w:val="auto"/>
              <w:rPr>
                <w:rFonts w:cs="Arial"/>
                <w:bCs/>
                <w:lang w:eastAsia="ja-JP"/>
              </w:rPr>
            </w:pPr>
            <w:r>
              <w:rPr>
                <w:rFonts w:cs="Arial"/>
                <w:bCs/>
                <w:lang w:val="en-US" w:eastAsia="ja-JP"/>
              </w:rPr>
              <w:t>Using the same format as in DCI.</w:t>
            </w:r>
          </w:p>
          <w:p w14:paraId="7E2F93F3" w14:textId="77777777" w:rsidR="004552DA" w:rsidRPr="004552DA" w:rsidRDefault="004552DA" w:rsidP="004552DA">
            <w:pPr>
              <w:pStyle w:val="ListParagraph"/>
              <w:numPr>
                <w:ilvl w:val="1"/>
                <w:numId w:val="45"/>
              </w:numPr>
              <w:overflowPunct/>
              <w:autoSpaceDE/>
              <w:autoSpaceDN/>
              <w:adjustRightInd/>
              <w:spacing w:after="160" w:line="254" w:lineRule="auto"/>
              <w:textAlignment w:val="auto"/>
              <w:rPr>
                <w:rFonts w:cs="Arial"/>
                <w:bCs/>
                <w:highlight w:val="yellow"/>
                <w:lang w:eastAsia="ja-JP"/>
              </w:rPr>
            </w:pPr>
            <w:r w:rsidRPr="004552DA">
              <w:rPr>
                <w:rFonts w:cs="Arial"/>
                <w:bCs/>
                <w:highlight w:val="yellow"/>
                <w:lang w:eastAsia="ja-JP"/>
              </w:rPr>
              <w:t>Periodicity</w:t>
            </w:r>
          </w:p>
          <w:p w14:paraId="024BC831"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The configured grant is associated with a single transmit resource pool.</w:t>
            </w:r>
          </w:p>
          <w:p w14:paraId="304BBD78" w14:textId="77777777" w:rsid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eastAsia="ja-JP"/>
              </w:rPr>
              <w:t>RAN2 can add other parameters if deemed necessary by RAN2</w:t>
            </w:r>
          </w:p>
          <w:p w14:paraId="64B06AE0" w14:textId="77777777" w:rsidR="004552DA" w:rsidRDefault="004552DA" w:rsidP="004552DA">
            <w:pPr>
              <w:pStyle w:val="ListParagraph"/>
              <w:numPr>
                <w:ilvl w:val="0"/>
                <w:numId w:val="45"/>
              </w:numPr>
              <w:overflowPunct/>
              <w:autoSpaceDE/>
              <w:autoSpaceDN/>
              <w:adjustRightInd/>
              <w:spacing w:after="160" w:line="254" w:lineRule="auto"/>
              <w:textAlignment w:val="auto"/>
              <w:rPr>
                <w:rFonts w:cs="Arial"/>
                <w:bCs/>
                <w:lang w:eastAsia="ja-JP"/>
              </w:rPr>
            </w:pPr>
            <w:r>
              <w:rPr>
                <w:rFonts w:cs="Arial"/>
                <w:bCs/>
                <w:lang w:val="en-US" w:eastAsia="ja-JP"/>
              </w:rPr>
              <w:t xml:space="preserve">A UE in mode 1 is configured at least with one transmit resource pool </w:t>
            </w:r>
          </w:p>
          <w:p w14:paraId="5F0112C0" w14:textId="77777777" w:rsidR="004552DA" w:rsidRDefault="004552DA" w:rsidP="004552DA">
            <w:pPr>
              <w:numPr>
                <w:ilvl w:val="0"/>
                <w:numId w:val="45"/>
              </w:numPr>
              <w:overflowPunct/>
              <w:autoSpaceDE/>
              <w:autoSpaceDN/>
              <w:adjustRightInd/>
              <w:spacing w:after="160" w:line="254" w:lineRule="auto"/>
              <w:textAlignment w:val="auto"/>
              <w:rPr>
                <w:rFonts w:cs="Arial"/>
                <w:bCs/>
                <w:lang w:val="x-none"/>
              </w:rPr>
            </w:pPr>
            <w:r>
              <w:rPr>
                <w:rFonts w:cs="Arial"/>
                <w:bCs/>
                <w:lang w:val="en-US"/>
              </w:rPr>
              <w:t>For type-2 CG, the time-f</w:t>
            </w:r>
            <w:r w:rsidRPr="00122782">
              <w:rPr>
                <w:rFonts w:cs="Arial"/>
                <w:bCs/>
                <w:lang w:val="en-US"/>
              </w:rPr>
              <w:t>requency allocation and the configuration index of the CG are</w:t>
            </w:r>
            <w:r>
              <w:rPr>
                <w:rFonts w:cs="Arial"/>
                <w:bCs/>
                <w:lang w:val="en-US"/>
              </w:rPr>
              <w:t xml:space="preserve"> indicated in DCI.</w:t>
            </w:r>
          </w:p>
          <w:p w14:paraId="657DB569" w14:textId="37C73698" w:rsidR="004552DA" w:rsidRPr="004552DA" w:rsidRDefault="004552DA" w:rsidP="004552DA">
            <w:pPr>
              <w:pStyle w:val="ListParagraph"/>
              <w:numPr>
                <w:ilvl w:val="1"/>
                <w:numId w:val="45"/>
              </w:numPr>
              <w:overflowPunct/>
              <w:autoSpaceDE/>
              <w:autoSpaceDN/>
              <w:adjustRightInd/>
              <w:spacing w:after="160" w:line="254" w:lineRule="auto"/>
              <w:textAlignment w:val="auto"/>
              <w:rPr>
                <w:rFonts w:cs="Arial"/>
                <w:bCs/>
                <w:lang w:eastAsia="ja-JP"/>
              </w:rPr>
            </w:pPr>
            <w:r>
              <w:rPr>
                <w:rFonts w:cs="Arial"/>
                <w:bCs/>
                <w:lang w:val="en-US" w:eastAsia="ja-JP"/>
              </w:rPr>
              <w:t>All parameters for CG type 2 for activation DCI re-use the same respective parameters configured for CG type 1, when applicable</w:t>
            </w:r>
          </w:p>
        </w:tc>
      </w:tr>
    </w:tbl>
    <w:p w14:paraId="7A238EFF" w14:textId="4140CB12" w:rsidR="00D32D1C" w:rsidRDefault="00D32D1C" w:rsidP="00D32D1C">
      <w:pPr>
        <w:pStyle w:val="BodyText"/>
        <w:spacing w:before="240"/>
      </w:pPr>
      <w:r>
        <w:lastRenderedPageBreak/>
        <w:t>Looking at these agreements, we observe the following regarding coexistence between Mode-1 and Mode-2</w:t>
      </w:r>
      <w:r w:rsidR="008E00B7">
        <w:t xml:space="preserve"> in a pool of resources</w:t>
      </w:r>
      <w:r>
        <w:t>:</w:t>
      </w:r>
    </w:p>
    <w:p w14:paraId="2F74D8FA" w14:textId="63C52DE9" w:rsidR="00D32D1C" w:rsidRPr="00D32D1C" w:rsidRDefault="00D32D1C" w:rsidP="00D32D1C">
      <w:pPr>
        <w:pStyle w:val="ListParagraph"/>
        <w:numPr>
          <w:ilvl w:val="0"/>
          <w:numId w:val="46"/>
        </w:numPr>
      </w:pPr>
      <w:r>
        <w:rPr>
          <w:rFonts w:ascii="Arial" w:eastAsia="Times New Roman" w:hAnsi="Arial"/>
          <w:sz w:val="20"/>
          <w:szCs w:val="20"/>
          <w:lang w:val="en-GB" w:eastAsia="zh-CN"/>
        </w:rPr>
        <w:t>Multiple transmissions of the same TB can be reserved in the same way for Mode-1 and Mode-2. That is, the same level of protection can be expected in both cases.</w:t>
      </w:r>
    </w:p>
    <w:p w14:paraId="1E7F371D" w14:textId="31A87374" w:rsidR="00D32D1C" w:rsidRPr="00D32D1C" w:rsidRDefault="00D32D1C" w:rsidP="00D32D1C">
      <w:pPr>
        <w:pStyle w:val="ListParagraph"/>
        <w:numPr>
          <w:ilvl w:val="0"/>
          <w:numId w:val="46"/>
        </w:numPr>
        <w:spacing w:before="240"/>
      </w:pPr>
      <w:r>
        <w:rPr>
          <w:rFonts w:ascii="Arial" w:eastAsia="Times New Roman" w:hAnsi="Arial"/>
          <w:sz w:val="20"/>
          <w:szCs w:val="20"/>
          <w:lang w:val="en-GB" w:eastAsia="zh-CN"/>
        </w:rPr>
        <w:t>Transmissions of multiple TBs cannot be reserved in the same way for Mode-1 and Mode-2. More specifically, the use of periodic reservations is not</w:t>
      </w:r>
      <w:r w:rsidR="008E00B7">
        <w:rPr>
          <w:rFonts w:ascii="Arial" w:eastAsia="Times New Roman" w:hAnsi="Arial"/>
          <w:sz w:val="20"/>
          <w:szCs w:val="20"/>
          <w:lang w:val="en-GB" w:eastAsia="zh-CN"/>
        </w:rPr>
        <w:t xml:space="preserve"> yet</w:t>
      </w:r>
      <w:r>
        <w:rPr>
          <w:rFonts w:ascii="Arial" w:eastAsia="Times New Roman" w:hAnsi="Arial"/>
          <w:sz w:val="20"/>
          <w:szCs w:val="20"/>
          <w:lang w:val="en-GB" w:eastAsia="zh-CN"/>
        </w:rPr>
        <w:t xml:space="preserve"> supported for Mode-1.</w:t>
      </w:r>
    </w:p>
    <w:p w14:paraId="35A9C258" w14:textId="4C50B379" w:rsidR="00D32D1C" w:rsidRDefault="00D32D1C" w:rsidP="00D32D1C">
      <w:pPr>
        <w:pStyle w:val="Observation"/>
        <w:spacing w:before="240"/>
      </w:pPr>
      <w:bookmarkStart w:id="2" w:name="_Toc37320403"/>
      <w:bookmarkStart w:id="3" w:name="_Toc40389787"/>
      <w:r>
        <w:t>Unlike LTE Rel-15, the use of reservations for transmissions of multiple TBs is not supported for Mode-1.</w:t>
      </w:r>
      <w:bookmarkEnd w:id="2"/>
      <w:bookmarkEnd w:id="3"/>
    </w:p>
    <w:p w14:paraId="4F01F6F5" w14:textId="4DE707D2" w:rsidR="00D32D1C" w:rsidRDefault="00D32D1C" w:rsidP="00D32D1C">
      <w:pPr>
        <w:pStyle w:val="BodyText"/>
        <w:spacing w:before="240"/>
      </w:pPr>
      <w:r>
        <w:t>In principle, the configuration options for the signalling in SCI (i.e., reservation field) and for the periodicity of a CG may be different. Nonetheless, for many configurations of interest the UE can make use of the reservation flag.</w:t>
      </w:r>
    </w:p>
    <w:p w14:paraId="1DB15216" w14:textId="1E713123" w:rsidR="00335FD1" w:rsidRPr="00135C81" w:rsidRDefault="00335FD1" w:rsidP="00335FD1">
      <w:pPr>
        <w:rPr>
          <w:rFonts w:ascii="Arial" w:hAnsi="Arial" w:cs="Arial"/>
        </w:rPr>
      </w:pPr>
      <w:r w:rsidRPr="00135C81">
        <w:rPr>
          <w:rFonts w:ascii="Arial" w:hAnsi="Arial" w:cs="Arial"/>
        </w:rPr>
        <w:t>During RAN1#100bis-e, there was a discussion on the use of reservations for Mode 1. In this regard we note that</w:t>
      </w:r>
      <w:r>
        <w:rPr>
          <w:rFonts w:ascii="Arial" w:hAnsi="Arial" w:cs="Arial"/>
        </w:rPr>
        <w:t xml:space="preserve"> </w:t>
      </w:r>
      <w:r>
        <w:rPr>
          <w:rFonts w:ascii="Arial" w:eastAsia="Calibri" w:hAnsi="Arial" w:cs="Arial"/>
          <w:lang w:val="en-US" w:eastAsia="en-US"/>
        </w:rPr>
        <w:t>c</w:t>
      </w:r>
      <w:r w:rsidRPr="00135C81">
        <w:rPr>
          <w:rFonts w:ascii="Arial" w:hAnsi="Arial" w:cs="Arial"/>
          <w:lang w:val="en-US"/>
        </w:rPr>
        <w:t>oexistence of Mode 1 and Mode 2 in the same pool is supported regardless of whether reservations are used or not. With the current specification, the operator has the choice.</w:t>
      </w:r>
    </w:p>
    <w:p w14:paraId="7BCFCD4E" w14:textId="3FF5E01D" w:rsidR="00335FD1" w:rsidRDefault="00335FD1" w:rsidP="00455E20">
      <w:pPr>
        <w:pStyle w:val="Proposal"/>
        <w:spacing w:before="240"/>
      </w:pPr>
      <w:bookmarkStart w:id="4" w:name="_Toc40389788"/>
      <w:r w:rsidRPr="00335FD1">
        <w:t>For configured grant, the UE follows the LTE behavio</w:t>
      </w:r>
      <w:r w:rsidR="004D7B2D">
        <w:t>u</w:t>
      </w:r>
      <w:r w:rsidRPr="00335FD1">
        <w:t>r and sets the reservation period in SCI that corresponds to the CG periodicity. No reservation is signa</w:t>
      </w:r>
      <w:r w:rsidR="004D7B2D">
        <w:t>l</w:t>
      </w:r>
      <w:r w:rsidRPr="00335FD1">
        <w:t>led if the CG periodicity does not correspond to any of the reservation periods that are configured for the pool.</w:t>
      </w:r>
      <w:bookmarkEnd w:id="4"/>
    </w:p>
    <w:p w14:paraId="234B9CF4" w14:textId="287DA348" w:rsidR="00C01F33" w:rsidRDefault="00B6474D" w:rsidP="00CE0424">
      <w:pPr>
        <w:pStyle w:val="Heading1"/>
      </w:pPr>
      <w:r>
        <w:t>3</w:t>
      </w:r>
      <w:r w:rsidR="00263764">
        <w:tab/>
      </w:r>
      <w:r w:rsidR="00C01F33" w:rsidRPr="00CE0424">
        <w:t>Conclusion</w:t>
      </w:r>
    </w:p>
    <w:p w14:paraId="1AA14BA5" w14:textId="04FED71A" w:rsidR="00455E20" w:rsidRPr="00455E20" w:rsidRDefault="00455E20" w:rsidP="00494CCE">
      <w:pPr>
        <w:pStyle w:val="BodyText"/>
      </w:pPr>
      <w:r>
        <w:t>In this document, we have observed the following:</w:t>
      </w:r>
    </w:p>
    <w:p w14:paraId="16811FB4" w14:textId="7C69B76D" w:rsidR="00950A27" w:rsidRDefault="00455E20">
      <w:pPr>
        <w:pStyle w:val="TOC1"/>
        <w:rPr>
          <w:rFonts w:asciiTheme="minorHAnsi" w:eastAsiaTheme="minorEastAsia" w:hAnsiTheme="minorHAnsi" w:cstheme="minorBidi"/>
          <w:b w:val="0"/>
          <w:sz w:val="22"/>
          <w:szCs w:val="22"/>
          <w:lang w:val="fi-FI" w:eastAsia="fi-FI"/>
        </w:rPr>
      </w:pPr>
      <w:r>
        <w:rPr>
          <w:b w:val="0"/>
        </w:rPr>
        <w:fldChar w:fldCharType="begin"/>
      </w:r>
      <w:r>
        <w:rPr>
          <w:b w:val="0"/>
        </w:rPr>
        <w:instrText xml:space="preserve"> TOC \n \h \z \t "Observation,1" </w:instrText>
      </w:r>
      <w:r>
        <w:rPr>
          <w:b w:val="0"/>
        </w:rPr>
        <w:fldChar w:fldCharType="separate"/>
      </w:r>
      <w:hyperlink w:anchor="_Toc40389787" w:history="1">
        <w:r w:rsidR="00950A27" w:rsidRPr="007317AE">
          <w:rPr>
            <w:rStyle w:val="Hyperlink"/>
          </w:rPr>
          <w:t>Observation 1</w:t>
        </w:r>
        <w:r w:rsidR="00950A27">
          <w:rPr>
            <w:rFonts w:asciiTheme="minorHAnsi" w:eastAsiaTheme="minorEastAsia" w:hAnsiTheme="minorHAnsi" w:cstheme="minorBidi"/>
            <w:b w:val="0"/>
            <w:sz w:val="22"/>
            <w:szCs w:val="22"/>
            <w:lang w:val="fi-FI" w:eastAsia="fi-FI"/>
          </w:rPr>
          <w:tab/>
        </w:r>
        <w:r w:rsidR="00950A27" w:rsidRPr="007317AE">
          <w:rPr>
            <w:rStyle w:val="Hyperlink"/>
          </w:rPr>
          <w:t>Unlike LTE Rel-15, the use of reservations for transmissions of multiple TBs is not supported for Mode-1.</w:t>
        </w:r>
      </w:hyperlink>
    </w:p>
    <w:p w14:paraId="548F2CEA" w14:textId="00213F2C" w:rsidR="00455E20" w:rsidRDefault="00455E20" w:rsidP="006E1C82">
      <w:pPr>
        <w:pStyle w:val="BodyText"/>
      </w:pPr>
      <w:r>
        <w:rPr>
          <w:b/>
          <w:noProof/>
          <w:lang w:eastAsia="ja-JP"/>
        </w:rPr>
        <w:fldChar w:fldCharType="end"/>
      </w:r>
    </w:p>
    <w:p w14:paraId="30F6A381" w14:textId="10457B1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AFB8D15" w14:textId="4CD87D82" w:rsidR="00950A27"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389788" w:history="1">
        <w:r w:rsidR="00950A27" w:rsidRPr="00D811E8">
          <w:rPr>
            <w:rStyle w:val="Hyperlink"/>
            <w:noProof/>
          </w:rPr>
          <w:t>Proposal 1</w:t>
        </w:r>
        <w:r w:rsidR="00950A27">
          <w:rPr>
            <w:rFonts w:asciiTheme="minorHAnsi" w:eastAsiaTheme="minorEastAsia" w:hAnsiTheme="minorHAnsi" w:cstheme="minorBidi"/>
            <w:b w:val="0"/>
            <w:noProof/>
            <w:sz w:val="22"/>
            <w:szCs w:val="22"/>
            <w:lang w:val="fi-FI" w:eastAsia="fi-FI"/>
          </w:rPr>
          <w:tab/>
        </w:r>
        <w:r w:rsidR="00950A27" w:rsidRPr="00D811E8">
          <w:rPr>
            <w:rStyle w:val="Hyperlink"/>
            <w:noProof/>
          </w:rPr>
          <w:t>For configured grant, the UE follows the LTE behaviour and sets the reservation period in SCI that corresponds to the CG periodicity. No reservation is signalled if the CG periodicity does not correspond to any of the reservation periods that are configured for the pool.</w:t>
        </w:r>
      </w:hyperlink>
    </w:p>
    <w:p w14:paraId="5C688276" w14:textId="4AFD859C" w:rsidR="003A7EF3" w:rsidRPr="00AB326C" w:rsidRDefault="006E1C82" w:rsidP="00CE0424">
      <w:pPr>
        <w:pStyle w:val="BodyText"/>
        <w:rPr>
          <w:b/>
          <w:bCs/>
        </w:rPr>
      </w:pPr>
      <w:r>
        <w:rPr>
          <w:b/>
          <w:bCs/>
          <w:lang w:val="en-US"/>
        </w:rPr>
        <w:fldChar w:fldCharType="end"/>
      </w:r>
      <w:bookmarkStart w:id="5" w:name="_In-sequence_SDU_delivery"/>
      <w:bookmarkEnd w:id="5"/>
    </w:p>
    <w:sectPr w:rsidR="003A7EF3" w:rsidRPr="00AB326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5E71A" w14:textId="77777777" w:rsidR="00120509" w:rsidRDefault="00120509">
      <w:r>
        <w:separator/>
      </w:r>
    </w:p>
  </w:endnote>
  <w:endnote w:type="continuationSeparator" w:id="0">
    <w:p w14:paraId="1EAA8626" w14:textId="77777777" w:rsidR="00120509" w:rsidRDefault="00120509">
      <w:r>
        <w:continuationSeparator/>
      </w:r>
    </w:p>
  </w:endnote>
  <w:endnote w:type="continuationNotice" w:id="1">
    <w:p w14:paraId="2307CF9E" w14:textId="77777777" w:rsidR="00120509" w:rsidRDefault="00120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8EBBD" w14:textId="77777777" w:rsidR="00120509" w:rsidRDefault="00120509">
      <w:r>
        <w:separator/>
      </w:r>
    </w:p>
  </w:footnote>
  <w:footnote w:type="continuationSeparator" w:id="0">
    <w:p w14:paraId="6DCCB515" w14:textId="77777777" w:rsidR="00120509" w:rsidRDefault="00120509">
      <w:r>
        <w:continuationSeparator/>
      </w:r>
    </w:p>
  </w:footnote>
  <w:footnote w:type="continuationNotice" w:id="1">
    <w:p w14:paraId="35A464FE" w14:textId="77777777" w:rsidR="00120509" w:rsidRDefault="001205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47A08"/>
    <w:multiLevelType w:val="hybridMultilevel"/>
    <w:tmpl w:val="BB88C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905D52"/>
    <w:multiLevelType w:val="hybridMultilevel"/>
    <w:tmpl w:val="CC86C2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5093C"/>
    <w:multiLevelType w:val="hybridMultilevel"/>
    <w:tmpl w:val="E1A8AA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6E0B57"/>
    <w:multiLevelType w:val="hybridMultilevel"/>
    <w:tmpl w:val="8612F070"/>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start w:val="1"/>
      <w:numFmt w:val="bullet"/>
      <w:lvlText w:val=""/>
      <w:lvlJc w:val="left"/>
      <w:pPr>
        <w:ind w:left="4184" w:hanging="360"/>
      </w:pPr>
      <w:rPr>
        <w:rFonts w:ascii="Symbol" w:hAnsi="Symbol" w:hint="default"/>
      </w:rPr>
    </w:lvl>
    <w:lvl w:ilvl="4" w:tplc="040B0003">
      <w:start w:val="1"/>
      <w:numFmt w:val="bullet"/>
      <w:lvlText w:val="o"/>
      <w:lvlJc w:val="left"/>
      <w:pPr>
        <w:ind w:left="4904" w:hanging="360"/>
      </w:pPr>
      <w:rPr>
        <w:rFonts w:ascii="Courier New" w:hAnsi="Courier New" w:cs="Courier New" w:hint="default"/>
      </w:rPr>
    </w:lvl>
    <w:lvl w:ilvl="5" w:tplc="040B0005">
      <w:start w:val="1"/>
      <w:numFmt w:val="bullet"/>
      <w:lvlText w:val=""/>
      <w:lvlJc w:val="left"/>
      <w:pPr>
        <w:ind w:left="5624" w:hanging="360"/>
      </w:pPr>
      <w:rPr>
        <w:rFonts w:ascii="Wingdings" w:hAnsi="Wingdings" w:hint="default"/>
      </w:rPr>
    </w:lvl>
    <w:lvl w:ilvl="6" w:tplc="040B0001">
      <w:start w:val="1"/>
      <w:numFmt w:val="bullet"/>
      <w:lvlText w:val=""/>
      <w:lvlJc w:val="left"/>
      <w:pPr>
        <w:ind w:left="6344" w:hanging="360"/>
      </w:pPr>
      <w:rPr>
        <w:rFonts w:ascii="Symbol" w:hAnsi="Symbol" w:hint="default"/>
      </w:rPr>
    </w:lvl>
    <w:lvl w:ilvl="7" w:tplc="040B0003">
      <w:start w:val="1"/>
      <w:numFmt w:val="bullet"/>
      <w:lvlText w:val="o"/>
      <w:lvlJc w:val="left"/>
      <w:pPr>
        <w:ind w:left="7064" w:hanging="360"/>
      </w:pPr>
      <w:rPr>
        <w:rFonts w:ascii="Courier New" w:hAnsi="Courier New" w:cs="Courier New" w:hint="default"/>
      </w:rPr>
    </w:lvl>
    <w:lvl w:ilvl="8" w:tplc="040B0005">
      <w:start w:val="1"/>
      <w:numFmt w:val="bullet"/>
      <w:lvlText w:val=""/>
      <w:lvlJc w:val="left"/>
      <w:pPr>
        <w:ind w:left="7784" w:hanging="360"/>
      </w:pPr>
      <w:rPr>
        <w:rFonts w:ascii="Wingdings" w:hAnsi="Wingdings" w:hint="default"/>
      </w:rPr>
    </w:lvl>
  </w:abstractNum>
  <w:abstractNum w:abstractNumId="24"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B47745"/>
    <w:multiLevelType w:val="hybridMultilevel"/>
    <w:tmpl w:val="CD2CAE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2FC2795"/>
    <w:multiLevelType w:val="hybridMultilevel"/>
    <w:tmpl w:val="7FC87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5D43353"/>
    <w:multiLevelType w:val="hybridMultilevel"/>
    <w:tmpl w:val="63CA9F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6E53057"/>
    <w:multiLevelType w:val="hybridMultilevel"/>
    <w:tmpl w:val="90F46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B6303BE"/>
    <w:multiLevelType w:val="hybridMultilevel"/>
    <w:tmpl w:val="9BEEA5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DAE6F7D"/>
    <w:multiLevelType w:val="hybridMultilevel"/>
    <w:tmpl w:val="C30656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2AF6F51"/>
    <w:multiLevelType w:val="hybridMultilevel"/>
    <w:tmpl w:val="AC1A16C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0F7E82"/>
    <w:multiLevelType w:val="hybridMultilevel"/>
    <w:tmpl w:val="22F095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20"/>
  </w:num>
  <w:num w:numId="5">
    <w:abstractNumId w:val="14"/>
  </w:num>
  <w:num w:numId="6">
    <w:abstractNumId w:val="22"/>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1"/>
  </w:num>
  <w:num w:numId="17">
    <w:abstractNumId w:val="10"/>
  </w:num>
  <w:num w:numId="18">
    <w:abstractNumId w:val="11"/>
  </w:num>
  <w:num w:numId="19">
    <w:abstractNumId w:val="6"/>
  </w:num>
  <w:num w:numId="20">
    <w:abstractNumId w:val="43"/>
  </w:num>
  <w:num w:numId="21">
    <w:abstractNumId w:val="16"/>
  </w:num>
  <w:num w:numId="22">
    <w:abstractNumId w:val="40"/>
  </w:num>
  <w:num w:numId="23">
    <w:abstractNumId w:val="42"/>
  </w:num>
  <w:num w:numId="24">
    <w:abstractNumId w:val="36"/>
  </w:num>
  <w:num w:numId="25">
    <w:abstractNumId w:val="35"/>
  </w:num>
  <w:num w:numId="26">
    <w:abstractNumId w:val="34"/>
  </w:num>
  <w:num w:numId="27">
    <w:abstractNumId w:val="18"/>
  </w:num>
  <w:num w:numId="28">
    <w:abstractNumId w:val="33"/>
  </w:num>
  <w:num w:numId="29">
    <w:abstractNumId w:val="17"/>
  </w:num>
  <w:num w:numId="30">
    <w:abstractNumId w:val="44"/>
  </w:num>
  <w:num w:numId="31">
    <w:abstractNumId w:val="1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8"/>
  </w:num>
  <w:num w:numId="35">
    <w:abstractNumId w:val="23"/>
  </w:num>
  <w:num w:numId="36">
    <w:abstractNumId w:val="29"/>
  </w:num>
  <w:num w:numId="37">
    <w:abstractNumId w:val="24"/>
  </w:num>
  <w:num w:numId="38">
    <w:abstractNumId w:val="32"/>
  </w:num>
  <w:num w:numId="39">
    <w:abstractNumId w:val="13"/>
  </w:num>
  <w:num w:numId="40">
    <w:abstractNumId w:val="39"/>
  </w:num>
  <w:num w:numId="41">
    <w:abstractNumId w:val="37"/>
  </w:num>
  <w:num w:numId="42">
    <w:abstractNumId w:val="5"/>
  </w:num>
  <w:num w:numId="43">
    <w:abstractNumId w:val="19"/>
  </w:num>
  <w:num w:numId="44">
    <w:abstractNumId w:val="41"/>
  </w:num>
  <w:num w:numId="45">
    <w:abstractNumId w:val="9"/>
  </w:num>
  <w:num w:numId="46">
    <w:abstractNumId w:val="7"/>
  </w:num>
  <w:num w:numId="47">
    <w:abstractNumId w:val="8"/>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0D33"/>
    <w:rsid w:val="000251A2"/>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D37"/>
    <w:rsid w:val="00083099"/>
    <w:rsid w:val="00083914"/>
    <w:rsid w:val="000855EB"/>
    <w:rsid w:val="00085B52"/>
    <w:rsid w:val="000866F2"/>
    <w:rsid w:val="0009009F"/>
    <w:rsid w:val="00091557"/>
    <w:rsid w:val="000924C1"/>
    <w:rsid w:val="000924F0"/>
    <w:rsid w:val="00093474"/>
    <w:rsid w:val="0009510F"/>
    <w:rsid w:val="000A0FF2"/>
    <w:rsid w:val="000A1B7B"/>
    <w:rsid w:val="000A56F2"/>
    <w:rsid w:val="000B2719"/>
    <w:rsid w:val="000B3A8F"/>
    <w:rsid w:val="000B4AB9"/>
    <w:rsid w:val="000B58C3"/>
    <w:rsid w:val="000B61E9"/>
    <w:rsid w:val="000C165A"/>
    <w:rsid w:val="000C2E19"/>
    <w:rsid w:val="000D0D07"/>
    <w:rsid w:val="000D4797"/>
    <w:rsid w:val="000D70D7"/>
    <w:rsid w:val="000E0527"/>
    <w:rsid w:val="000E1E92"/>
    <w:rsid w:val="000F06D6"/>
    <w:rsid w:val="000F0EB1"/>
    <w:rsid w:val="000F1106"/>
    <w:rsid w:val="000F2B97"/>
    <w:rsid w:val="000F3BE9"/>
    <w:rsid w:val="000F3F6C"/>
    <w:rsid w:val="000F6DF3"/>
    <w:rsid w:val="000F785E"/>
    <w:rsid w:val="001005FF"/>
    <w:rsid w:val="00102E04"/>
    <w:rsid w:val="001062FB"/>
    <w:rsid w:val="001063E6"/>
    <w:rsid w:val="00113CF4"/>
    <w:rsid w:val="001153EA"/>
    <w:rsid w:val="00115643"/>
    <w:rsid w:val="00116765"/>
    <w:rsid w:val="00120509"/>
    <w:rsid w:val="001219F5"/>
    <w:rsid w:val="00121A20"/>
    <w:rsid w:val="00122782"/>
    <w:rsid w:val="0012377F"/>
    <w:rsid w:val="00124314"/>
    <w:rsid w:val="00126B4A"/>
    <w:rsid w:val="00132FD0"/>
    <w:rsid w:val="001344C0"/>
    <w:rsid w:val="001346FA"/>
    <w:rsid w:val="00135252"/>
    <w:rsid w:val="001368FB"/>
    <w:rsid w:val="00137AB5"/>
    <w:rsid w:val="00137F0B"/>
    <w:rsid w:val="00151E23"/>
    <w:rsid w:val="001526E0"/>
    <w:rsid w:val="001551B5"/>
    <w:rsid w:val="001659C1"/>
    <w:rsid w:val="00173A8E"/>
    <w:rsid w:val="0017502C"/>
    <w:rsid w:val="0018143F"/>
    <w:rsid w:val="00181FF8"/>
    <w:rsid w:val="00183F54"/>
    <w:rsid w:val="00190AC1"/>
    <w:rsid w:val="0019341A"/>
    <w:rsid w:val="0019403A"/>
    <w:rsid w:val="00197DF9"/>
    <w:rsid w:val="001A1987"/>
    <w:rsid w:val="001A2564"/>
    <w:rsid w:val="001A6173"/>
    <w:rsid w:val="001A6CBA"/>
    <w:rsid w:val="001B0D97"/>
    <w:rsid w:val="001B5A5D"/>
    <w:rsid w:val="001C1CE5"/>
    <w:rsid w:val="001C3D2A"/>
    <w:rsid w:val="001D51BA"/>
    <w:rsid w:val="001D53E7"/>
    <w:rsid w:val="001D6342"/>
    <w:rsid w:val="001D6D53"/>
    <w:rsid w:val="001E271D"/>
    <w:rsid w:val="001E58E2"/>
    <w:rsid w:val="001E7AED"/>
    <w:rsid w:val="001F0DFF"/>
    <w:rsid w:val="001F3916"/>
    <w:rsid w:val="001F54C5"/>
    <w:rsid w:val="001F662C"/>
    <w:rsid w:val="001F7074"/>
    <w:rsid w:val="00200490"/>
    <w:rsid w:val="00201F3A"/>
    <w:rsid w:val="00203F96"/>
    <w:rsid w:val="002069B2"/>
    <w:rsid w:val="0020754D"/>
    <w:rsid w:val="00207FA3"/>
    <w:rsid w:val="00214DA8"/>
    <w:rsid w:val="00215423"/>
    <w:rsid w:val="002158FA"/>
    <w:rsid w:val="00216DB3"/>
    <w:rsid w:val="00220600"/>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58EB"/>
    <w:rsid w:val="002500C8"/>
    <w:rsid w:val="00257543"/>
    <w:rsid w:val="002617E7"/>
    <w:rsid w:val="0026198D"/>
    <w:rsid w:val="00263764"/>
    <w:rsid w:val="00264228"/>
    <w:rsid w:val="00264334"/>
    <w:rsid w:val="0026473E"/>
    <w:rsid w:val="00266214"/>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869"/>
    <w:rsid w:val="002A6C24"/>
    <w:rsid w:val="002B24D6"/>
    <w:rsid w:val="002B751A"/>
    <w:rsid w:val="002C41E6"/>
    <w:rsid w:val="002C7CAC"/>
    <w:rsid w:val="002D071A"/>
    <w:rsid w:val="002D34B2"/>
    <w:rsid w:val="002D48B0"/>
    <w:rsid w:val="002D5B37"/>
    <w:rsid w:val="002D7637"/>
    <w:rsid w:val="002D7C91"/>
    <w:rsid w:val="002E17F2"/>
    <w:rsid w:val="002E7CAE"/>
    <w:rsid w:val="002E7EC1"/>
    <w:rsid w:val="002F13E4"/>
    <w:rsid w:val="002F2771"/>
    <w:rsid w:val="002F37A9"/>
    <w:rsid w:val="002F6224"/>
    <w:rsid w:val="00301CE6"/>
    <w:rsid w:val="0030256B"/>
    <w:rsid w:val="0030501F"/>
    <w:rsid w:val="003050FD"/>
    <w:rsid w:val="00307BA1"/>
    <w:rsid w:val="00311702"/>
    <w:rsid w:val="00311E82"/>
    <w:rsid w:val="00313FD6"/>
    <w:rsid w:val="003143BD"/>
    <w:rsid w:val="00315363"/>
    <w:rsid w:val="003203ED"/>
    <w:rsid w:val="00320D85"/>
    <w:rsid w:val="00322C9F"/>
    <w:rsid w:val="00324D23"/>
    <w:rsid w:val="00331751"/>
    <w:rsid w:val="00334579"/>
    <w:rsid w:val="00335858"/>
    <w:rsid w:val="00335FD1"/>
    <w:rsid w:val="00336BDA"/>
    <w:rsid w:val="00342BD7"/>
    <w:rsid w:val="0034354A"/>
    <w:rsid w:val="00346DB5"/>
    <w:rsid w:val="003477B1"/>
    <w:rsid w:val="00352980"/>
    <w:rsid w:val="00357380"/>
    <w:rsid w:val="003602D9"/>
    <w:rsid w:val="003604CE"/>
    <w:rsid w:val="00370E47"/>
    <w:rsid w:val="003742AC"/>
    <w:rsid w:val="00377CE1"/>
    <w:rsid w:val="00385BF0"/>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3CDD"/>
    <w:rsid w:val="003D5804"/>
    <w:rsid w:val="003D5B1F"/>
    <w:rsid w:val="003E15FA"/>
    <w:rsid w:val="003E55E4"/>
    <w:rsid w:val="003E59BC"/>
    <w:rsid w:val="003E74E3"/>
    <w:rsid w:val="003F05C7"/>
    <w:rsid w:val="003F2CD4"/>
    <w:rsid w:val="003F6BBE"/>
    <w:rsid w:val="004000E8"/>
    <w:rsid w:val="004025A5"/>
    <w:rsid w:val="00402E2B"/>
    <w:rsid w:val="0040512B"/>
    <w:rsid w:val="00405CA5"/>
    <w:rsid w:val="00407228"/>
    <w:rsid w:val="00407CD3"/>
    <w:rsid w:val="00410134"/>
    <w:rsid w:val="00410B72"/>
    <w:rsid w:val="00410F18"/>
    <w:rsid w:val="004111C8"/>
    <w:rsid w:val="004113C5"/>
    <w:rsid w:val="0041263E"/>
    <w:rsid w:val="00413AAC"/>
    <w:rsid w:val="00413E92"/>
    <w:rsid w:val="00416734"/>
    <w:rsid w:val="00421105"/>
    <w:rsid w:val="00421D4C"/>
    <w:rsid w:val="00422AA4"/>
    <w:rsid w:val="004242F4"/>
    <w:rsid w:val="00427248"/>
    <w:rsid w:val="00437447"/>
    <w:rsid w:val="00441A92"/>
    <w:rsid w:val="004431DC"/>
    <w:rsid w:val="00444F56"/>
    <w:rsid w:val="004457F4"/>
    <w:rsid w:val="00446488"/>
    <w:rsid w:val="004517AA"/>
    <w:rsid w:val="00452CAC"/>
    <w:rsid w:val="004552DA"/>
    <w:rsid w:val="00455E20"/>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4CCE"/>
    <w:rsid w:val="004964F1"/>
    <w:rsid w:val="004A16BC"/>
    <w:rsid w:val="004A2B94"/>
    <w:rsid w:val="004B6F6A"/>
    <w:rsid w:val="004B7C0C"/>
    <w:rsid w:val="004C2E8D"/>
    <w:rsid w:val="004C3898"/>
    <w:rsid w:val="004C6906"/>
    <w:rsid w:val="004D36B1"/>
    <w:rsid w:val="004D53FB"/>
    <w:rsid w:val="004D7B2D"/>
    <w:rsid w:val="004D7EBD"/>
    <w:rsid w:val="004E2680"/>
    <w:rsid w:val="004E28F9"/>
    <w:rsid w:val="004E462E"/>
    <w:rsid w:val="004E4F14"/>
    <w:rsid w:val="004E56DC"/>
    <w:rsid w:val="004E76F4"/>
    <w:rsid w:val="004F0B4E"/>
    <w:rsid w:val="004F0B6C"/>
    <w:rsid w:val="004F2078"/>
    <w:rsid w:val="004F39FC"/>
    <w:rsid w:val="004F4DA3"/>
    <w:rsid w:val="004F60B5"/>
    <w:rsid w:val="005021A3"/>
    <w:rsid w:val="00506557"/>
    <w:rsid w:val="0050677A"/>
    <w:rsid w:val="005108D8"/>
    <w:rsid w:val="005116F9"/>
    <w:rsid w:val="005153A7"/>
    <w:rsid w:val="005219CF"/>
    <w:rsid w:val="00532DC9"/>
    <w:rsid w:val="00534B59"/>
    <w:rsid w:val="00536759"/>
    <w:rsid w:val="00537C62"/>
    <w:rsid w:val="00540301"/>
    <w:rsid w:val="00546970"/>
    <w:rsid w:val="00551388"/>
    <w:rsid w:val="00554E19"/>
    <w:rsid w:val="0056121F"/>
    <w:rsid w:val="00572505"/>
    <w:rsid w:val="00582809"/>
    <w:rsid w:val="0058340E"/>
    <w:rsid w:val="005850B1"/>
    <w:rsid w:val="00585395"/>
    <w:rsid w:val="0058798C"/>
    <w:rsid w:val="005900FA"/>
    <w:rsid w:val="005935A4"/>
    <w:rsid w:val="005948C2"/>
    <w:rsid w:val="00595DCA"/>
    <w:rsid w:val="0059779B"/>
    <w:rsid w:val="005A209A"/>
    <w:rsid w:val="005A662D"/>
    <w:rsid w:val="005B1409"/>
    <w:rsid w:val="005B35D7"/>
    <w:rsid w:val="005B392A"/>
    <w:rsid w:val="005B3AA3"/>
    <w:rsid w:val="005B48B2"/>
    <w:rsid w:val="005B6F83"/>
    <w:rsid w:val="005C6686"/>
    <w:rsid w:val="005C74FB"/>
    <w:rsid w:val="005C7735"/>
    <w:rsid w:val="005D1602"/>
    <w:rsid w:val="005D715E"/>
    <w:rsid w:val="005E385F"/>
    <w:rsid w:val="005E5B81"/>
    <w:rsid w:val="005F2CB1"/>
    <w:rsid w:val="005F3025"/>
    <w:rsid w:val="005F618C"/>
    <w:rsid w:val="005F651B"/>
    <w:rsid w:val="005F70BD"/>
    <w:rsid w:val="00600E4D"/>
    <w:rsid w:val="0060283C"/>
    <w:rsid w:val="0060422A"/>
    <w:rsid w:val="00604E43"/>
    <w:rsid w:val="00604F14"/>
    <w:rsid w:val="006064E6"/>
    <w:rsid w:val="00606618"/>
    <w:rsid w:val="00611B83"/>
    <w:rsid w:val="00613257"/>
    <w:rsid w:val="00620A71"/>
    <w:rsid w:val="00620D80"/>
    <w:rsid w:val="00621CCF"/>
    <w:rsid w:val="006234A6"/>
    <w:rsid w:val="006261F8"/>
    <w:rsid w:val="00626B26"/>
    <w:rsid w:val="00630001"/>
    <w:rsid w:val="006311B3"/>
    <w:rsid w:val="0063284C"/>
    <w:rsid w:val="00636398"/>
    <w:rsid w:val="006368D3"/>
    <w:rsid w:val="006377EC"/>
    <w:rsid w:val="0064151F"/>
    <w:rsid w:val="00641533"/>
    <w:rsid w:val="0064208D"/>
    <w:rsid w:val="00642E93"/>
    <w:rsid w:val="00643475"/>
    <w:rsid w:val="0064396A"/>
    <w:rsid w:val="0064624E"/>
    <w:rsid w:val="00646EFA"/>
    <w:rsid w:val="00650AB9"/>
    <w:rsid w:val="0065207C"/>
    <w:rsid w:val="00655733"/>
    <w:rsid w:val="00655ACD"/>
    <w:rsid w:val="00656A92"/>
    <w:rsid w:val="00656DDE"/>
    <w:rsid w:val="0066011D"/>
    <w:rsid w:val="006607C0"/>
    <w:rsid w:val="006613A6"/>
    <w:rsid w:val="006627A2"/>
    <w:rsid w:val="00662843"/>
    <w:rsid w:val="006634E6"/>
    <w:rsid w:val="00663A39"/>
    <w:rsid w:val="00664B03"/>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A5B"/>
    <w:rsid w:val="006A46FB"/>
    <w:rsid w:val="006A5E28"/>
    <w:rsid w:val="006A697B"/>
    <w:rsid w:val="006A7AFF"/>
    <w:rsid w:val="006B1816"/>
    <w:rsid w:val="006B2099"/>
    <w:rsid w:val="006B50CF"/>
    <w:rsid w:val="006C03B8"/>
    <w:rsid w:val="006C5EC9"/>
    <w:rsid w:val="006C6059"/>
    <w:rsid w:val="006C7522"/>
    <w:rsid w:val="006D6F08"/>
    <w:rsid w:val="006D76A3"/>
    <w:rsid w:val="006E05C6"/>
    <w:rsid w:val="006E062C"/>
    <w:rsid w:val="006E1C82"/>
    <w:rsid w:val="006E28B7"/>
    <w:rsid w:val="006E2A9B"/>
    <w:rsid w:val="006E3310"/>
    <w:rsid w:val="006E4E39"/>
    <w:rsid w:val="006E565E"/>
    <w:rsid w:val="006E673D"/>
    <w:rsid w:val="006E7D3B"/>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423"/>
    <w:rsid w:val="00715B9A"/>
    <w:rsid w:val="007257D0"/>
    <w:rsid w:val="00726EA6"/>
    <w:rsid w:val="00727208"/>
    <w:rsid w:val="00727680"/>
    <w:rsid w:val="007348B1"/>
    <w:rsid w:val="007362A6"/>
    <w:rsid w:val="00736D7D"/>
    <w:rsid w:val="00740E58"/>
    <w:rsid w:val="007445A0"/>
    <w:rsid w:val="0074524B"/>
    <w:rsid w:val="00747D8B"/>
    <w:rsid w:val="00751228"/>
    <w:rsid w:val="007532B4"/>
    <w:rsid w:val="007571E1"/>
    <w:rsid w:val="007604B2"/>
    <w:rsid w:val="00765281"/>
    <w:rsid w:val="00766BAD"/>
    <w:rsid w:val="007718F7"/>
    <w:rsid w:val="007729A2"/>
    <w:rsid w:val="00774293"/>
    <w:rsid w:val="007755F2"/>
    <w:rsid w:val="00776971"/>
    <w:rsid w:val="00776D36"/>
    <w:rsid w:val="00780A80"/>
    <w:rsid w:val="0078177E"/>
    <w:rsid w:val="0078304C"/>
    <w:rsid w:val="00783673"/>
    <w:rsid w:val="00784B97"/>
    <w:rsid w:val="00785490"/>
    <w:rsid w:val="007905FB"/>
    <w:rsid w:val="007925EA"/>
    <w:rsid w:val="00793CD8"/>
    <w:rsid w:val="00795C92"/>
    <w:rsid w:val="00796231"/>
    <w:rsid w:val="007A1CB3"/>
    <w:rsid w:val="007A29F3"/>
    <w:rsid w:val="007A306F"/>
    <w:rsid w:val="007A43A6"/>
    <w:rsid w:val="007A58A6"/>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610"/>
    <w:rsid w:val="007E4715"/>
    <w:rsid w:val="007E505B"/>
    <w:rsid w:val="007E7091"/>
    <w:rsid w:val="00803FAE"/>
    <w:rsid w:val="0080605F"/>
    <w:rsid w:val="00806EB0"/>
    <w:rsid w:val="00807786"/>
    <w:rsid w:val="00811FCB"/>
    <w:rsid w:val="008158D6"/>
    <w:rsid w:val="00817196"/>
    <w:rsid w:val="0082140C"/>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51A0"/>
    <w:rsid w:val="008B592A"/>
    <w:rsid w:val="008B7B5C"/>
    <w:rsid w:val="008C0C99"/>
    <w:rsid w:val="008C2017"/>
    <w:rsid w:val="008C4958"/>
    <w:rsid w:val="008C4BAA"/>
    <w:rsid w:val="008C6AE8"/>
    <w:rsid w:val="008C6FD2"/>
    <w:rsid w:val="008C7573"/>
    <w:rsid w:val="008D00A5"/>
    <w:rsid w:val="008D34F1"/>
    <w:rsid w:val="008D39D8"/>
    <w:rsid w:val="008D6D1A"/>
    <w:rsid w:val="008E00B7"/>
    <w:rsid w:val="008E065E"/>
    <w:rsid w:val="008E0927"/>
    <w:rsid w:val="008E1909"/>
    <w:rsid w:val="008E6CB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43D"/>
    <w:rsid w:val="00931BD9"/>
    <w:rsid w:val="009368F3"/>
    <w:rsid w:val="00941636"/>
    <w:rsid w:val="00943742"/>
    <w:rsid w:val="00945C05"/>
    <w:rsid w:val="00946945"/>
    <w:rsid w:val="00947554"/>
    <w:rsid w:val="00947713"/>
    <w:rsid w:val="00950A27"/>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B169A"/>
    <w:rsid w:val="009B1F30"/>
    <w:rsid w:val="009B25D1"/>
    <w:rsid w:val="009B3AC2"/>
    <w:rsid w:val="009B4DF4"/>
    <w:rsid w:val="009B564E"/>
    <w:rsid w:val="009B7E87"/>
    <w:rsid w:val="009C0169"/>
    <w:rsid w:val="009C0620"/>
    <w:rsid w:val="009C403E"/>
    <w:rsid w:val="009D4FF0"/>
    <w:rsid w:val="009D703C"/>
    <w:rsid w:val="009D718F"/>
    <w:rsid w:val="009E068F"/>
    <w:rsid w:val="009E14E0"/>
    <w:rsid w:val="009E35DB"/>
    <w:rsid w:val="009E47A3"/>
    <w:rsid w:val="009E70AC"/>
    <w:rsid w:val="009F08F3"/>
    <w:rsid w:val="009F263E"/>
    <w:rsid w:val="009F344F"/>
    <w:rsid w:val="00A031D8"/>
    <w:rsid w:val="00A048A8"/>
    <w:rsid w:val="00A04F49"/>
    <w:rsid w:val="00A13E54"/>
    <w:rsid w:val="00A17F63"/>
    <w:rsid w:val="00A21040"/>
    <w:rsid w:val="00A2193B"/>
    <w:rsid w:val="00A2351A"/>
    <w:rsid w:val="00A264A9"/>
    <w:rsid w:val="00A26DCF"/>
    <w:rsid w:val="00A27785"/>
    <w:rsid w:val="00A30187"/>
    <w:rsid w:val="00A3448A"/>
    <w:rsid w:val="00A36297"/>
    <w:rsid w:val="00A41E2B"/>
    <w:rsid w:val="00A44F0D"/>
    <w:rsid w:val="00A45B74"/>
    <w:rsid w:val="00A52E1D"/>
    <w:rsid w:val="00A61499"/>
    <w:rsid w:val="00A62A77"/>
    <w:rsid w:val="00A63483"/>
    <w:rsid w:val="00A657D7"/>
    <w:rsid w:val="00A660AC"/>
    <w:rsid w:val="00A67E6C"/>
    <w:rsid w:val="00A71B99"/>
    <w:rsid w:val="00A739D0"/>
    <w:rsid w:val="00A74F00"/>
    <w:rsid w:val="00A761D4"/>
    <w:rsid w:val="00A77901"/>
    <w:rsid w:val="00A77EC4"/>
    <w:rsid w:val="00A92879"/>
    <w:rsid w:val="00A9442A"/>
    <w:rsid w:val="00AA016F"/>
    <w:rsid w:val="00AA0299"/>
    <w:rsid w:val="00AA0854"/>
    <w:rsid w:val="00AA1ED6"/>
    <w:rsid w:val="00AA51D6"/>
    <w:rsid w:val="00AB0BC8"/>
    <w:rsid w:val="00AB11CA"/>
    <w:rsid w:val="00AB14D9"/>
    <w:rsid w:val="00AB1945"/>
    <w:rsid w:val="00AB326C"/>
    <w:rsid w:val="00AB4AB8"/>
    <w:rsid w:val="00AB655E"/>
    <w:rsid w:val="00AC007F"/>
    <w:rsid w:val="00AC0C2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AA2"/>
    <w:rsid w:val="00B45A52"/>
    <w:rsid w:val="00B46175"/>
    <w:rsid w:val="00B46EC1"/>
    <w:rsid w:val="00B548B7"/>
    <w:rsid w:val="00B55E8B"/>
    <w:rsid w:val="00B63785"/>
    <w:rsid w:val="00B6474D"/>
    <w:rsid w:val="00B6555C"/>
    <w:rsid w:val="00B664C7"/>
    <w:rsid w:val="00B739F6"/>
    <w:rsid w:val="00B81A6C"/>
    <w:rsid w:val="00B85DE5"/>
    <w:rsid w:val="00B90F73"/>
    <w:rsid w:val="00B93B59"/>
    <w:rsid w:val="00B9406A"/>
    <w:rsid w:val="00BA2280"/>
    <w:rsid w:val="00BA2A08"/>
    <w:rsid w:val="00BA49ED"/>
    <w:rsid w:val="00BA56D2"/>
    <w:rsid w:val="00BA76E0"/>
    <w:rsid w:val="00BB2A25"/>
    <w:rsid w:val="00BB33D7"/>
    <w:rsid w:val="00BB51E9"/>
    <w:rsid w:val="00BC0FDC"/>
    <w:rsid w:val="00BC3053"/>
    <w:rsid w:val="00BC4D2E"/>
    <w:rsid w:val="00BC6914"/>
    <w:rsid w:val="00BD48AC"/>
    <w:rsid w:val="00BD4DC1"/>
    <w:rsid w:val="00BD5F1A"/>
    <w:rsid w:val="00BE1234"/>
    <w:rsid w:val="00BE2FA6"/>
    <w:rsid w:val="00BE333F"/>
    <w:rsid w:val="00BE7406"/>
    <w:rsid w:val="00BE760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33F3"/>
    <w:rsid w:val="00C279B5"/>
    <w:rsid w:val="00C27C45"/>
    <w:rsid w:val="00C33580"/>
    <w:rsid w:val="00C3719D"/>
    <w:rsid w:val="00C37CB2"/>
    <w:rsid w:val="00C473A5"/>
    <w:rsid w:val="00C476EC"/>
    <w:rsid w:val="00C5006A"/>
    <w:rsid w:val="00C54995"/>
    <w:rsid w:val="00C54D41"/>
    <w:rsid w:val="00C60783"/>
    <w:rsid w:val="00C63BF6"/>
    <w:rsid w:val="00C64672"/>
    <w:rsid w:val="00C653B0"/>
    <w:rsid w:val="00C70697"/>
    <w:rsid w:val="00C715E9"/>
    <w:rsid w:val="00C72093"/>
    <w:rsid w:val="00C72EF4"/>
    <w:rsid w:val="00C744FE"/>
    <w:rsid w:val="00C75D2F"/>
    <w:rsid w:val="00C767BE"/>
    <w:rsid w:val="00C76E3C"/>
    <w:rsid w:val="00C77F87"/>
    <w:rsid w:val="00C81568"/>
    <w:rsid w:val="00C9027A"/>
    <w:rsid w:val="00C9068E"/>
    <w:rsid w:val="00C93814"/>
    <w:rsid w:val="00C93C4B"/>
    <w:rsid w:val="00C944AB"/>
    <w:rsid w:val="00C95B40"/>
    <w:rsid w:val="00C9774B"/>
    <w:rsid w:val="00CA1ED8"/>
    <w:rsid w:val="00CB1F63"/>
    <w:rsid w:val="00CB7170"/>
    <w:rsid w:val="00CC040E"/>
    <w:rsid w:val="00CC111F"/>
    <w:rsid w:val="00CC2011"/>
    <w:rsid w:val="00CC3EA0"/>
    <w:rsid w:val="00CC6F17"/>
    <w:rsid w:val="00CC7B45"/>
    <w:rsid w:val="00CD0697"/>
    <w:rsid w:val="00CD1188"/>
    <w:rsid w:val="00CD2A6F"/>
    <w:rsid w:val="00CD2ED1"/>
    <w:rsid w:val="00CD337B"/>
    <w:rsid w:val="00CE0424"/>
    <w:rsid w:val="00CE0BAD"/>
    <w:rsid w:val="00CE7561"/>
    <w:rsid w:val="00CE7636"/>
    <w:rsid w:val="00CF1354"/>
    <w:rsid w:val="00CF3B1F"/>
    <w:rsid w:val="00CF3BF6"/>
    <w:rsid w:val="00CF625B"/>
    <w:rsid w:val="00CF687E"/>
    <w:rsid w:val="00D022C0"/>
    <w:rsid w:val="00D0349B"/>
    <w:rsid w:val="00D03697"/>
    <w:rsid w:val="00D071AF"/>
    <w:rsid w:val="00D10249"/>
    <w:rsid w:val="00D115C3"/>
    <w:rsid w:val="00D11897"/>
    <w:rsid w:val="00D12197"/>
    <w:rsid w:val="00D13135"/>
    <w:rsid w:val="00D13745"/>
    <w:rsid w:val="00D13E4E"/>
    <w:rsid w:val="00D239A7"/>
    <w:rsid w:val="00D23F47"/>
    <w:rsid w:val="00D25C40"/>
    <w:rsid w:val="00D32D1C"/>
    <w:rsid w:val="00D35383"/>
    <w:rsid w:val="00D36E71"/>
    <w:rsid w:val="00D37D87"/>
    <w:rsid w:val="00D40B33"/>
    <w:rsid w:val="00D4318F"/>
    <w:rsid w:val="00D438BF"/>
    <w:rsid w:val="00D440F8"/>
    <w:rsid w:val="00D546FF"/>
    <w:rsid w:val="00D55AD5"/>
    <w:rsid w:val="00D576CA"/>
    <w:rsid w:val="00D61AF5"/>
    <w:rsid w:val="00D646DD"/>
    <w:rsid w:val="00D652B5"/>
    <w:rsid w:val="00D66155"/>
    <w:rsid w:val="00D663F0"/>
    <w:rsid w:val="00D708B0"/>
    <w:rsid w:val="00D7723F"/>
    <w:rsid w:val="00D77B1D"/>
    <w:rsid w:val="00D8021F"/>
    <w:rsid w:val="00D80383"/>
    <w:rsid w:val="00D803DC"/>
    <w:rsid w:val="00D82082"/>
    <w:rsid w:val="00D823C6"/>
    <w:rsid w:val="00D8327F"/>
    <w:rsid w:val="00D8352F"/>
    <w:rsid w:val="00D86CA3"/>
    <w:rsid w:val="00D871CE"/>
    <w:rsid w:val="00D9196D"/>
    <w:rsid w:val="00D92982"/>
    <w:rsid w:val="00D9425F"/>
    <w:rsid w:val="00DA0514"/>
    <w:rsid w:val="00DA305E"/>
    <w:rsid w:val="00DA5417"/>
    <w:rsid w:val="00DA56E8"/>
    <w:rsid w:val="00DB0A9F"/>
    <w:rsid w:val="00DB1B34"/>
    <w:rsid w:val="00DB377D"/>
    <w:rsid w:val="00DB44FE"/>
    <w:rsid w:val="00DB5497"/>
    <w:rsid w:val="00DC1772"/>
    <w:rsid w:val="00DC2D36"/>
    <w:rsid w:val="00DC3199"/>
    <w:rsid w:val="00DC331C"/>
    <w:rsid w:val="00DC53EF"/>
    <w:rsid w:val="00DE5608"/>
    <w:rsid w:val="00DE58D0"/>
    <w:rsid w:val="00DE654F"/>
    <w:rsid w:val="00DF0B6E"/>
    <w:rsid w:val="00DF15E0"/>
    <w:rsid w:val="00DF37A0"/>
    <w:rsid w:val="00E04241"/>
    <w:rsid w:val="00E04D94"/>
    <w:rsid w:val="00E110E7"/>
    <w:rsid w:val="00E11B20"/>
    <w:rsid w:val="00E17FA2"/>
    <w:rsid w:val="00E22330"/>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95A"/>
    <w:rsid w:val="00E57565"/>
    <w:rsid w:val="00E60AA8"/>
    <w:rsid w:val="00E62336"/>
    <w:rsid w:val="00E63838"/>
    <w:rsid w:val="00E64434"/>
    <w:rsid w:val="00E67C51"/>
    <w:rsid w:val="00E71BD5"/>
    <w:rsid w:val="00E72EFC"/>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4EA2"/>
    <w:rsid w:val="00EC24D5"/>
    <w:rsid w:val="00EC27C6"/>
    <w:rsid w:val="00EC4207"/>
    <w:rsid w:val="00EC5653"/>
    <w:rsid w:val="00EC5D0A"/>
    <w:rsid w:val="00EC71CE"/>
    <w:rsid w:val="00ED1006"/>
    <w:rsid w:val="00ED747E"/>
    <w:rsid w:val="00EE119B"/>
    <w:rsid w:val="00EE1ED9"/>
    <w:rsid w:val="00EE5C5E"/>
    <w:rsid w:val="00EE5E45"/>
    <w:rsid w:val="00EF18FE"/>
    <w:rsid w:val="00EF5787"/>
    <w:rsid w:val="00EF60D0"/>
    <w:rsid w:val="00F0364F"/>
    <w:rsid w:val="00F0528D"/>
    <w:rsid w:val="00F05DFA"/>
    <w:rsid w:val="00F06C67"/>
    <w:rsid w:val="00F06DFD"/>
    <w:rsid w:val="00F071D1"/>
    <w:rsid w:val="00F07533"/>
    <w:rsid w:val="00F10629"/>
    <w:rsid w:val="00F14C1B"/>
    <w:rsid w:val="00F15FA5"/>
    <w:rsid w:val="00F209B7"/>
    <w:rsid w:val="00F2376F"/>
    <w:rsid w:val="00F243D8"/>
    <w:rsid w:val="00F30828"/>
    <w:rsid w:val="00F313D6"/>
    <w:rsid w:val="00F40F0C"/>
    <w:rsid w:val="00F42EAF"/>
    <w:rsid w:val="00F4766C"/>
    <w:rsid w:val="00F47DDB"/>
    <w:rsid w:val="00F5060E"/>
    <w:rsid w:val="00F507D1"/>
    <w:rsid w:val="00F519CE"/>
    <w:rsid w:val="00F51ADA"/>
    <w:rsid w:val="00F60203"/>
    <w:rsid w:val="00F607C5"/>
    <w:rsid w:val="00F60DEA"/>
    <w:rsid w:val="00F6302A"/>
    <w:rsid w:val="00F63950"/>
    <w:rsid w:val="00F64C2B"/>
    <w:rsid w:val="00F651BE"/>
    <w:rsid w:val="00F67DFD"/>
    <w:rsid w:val="00F67F53"/>
    <w:rsid w:val="00F703BE"/>
    <w:rsid w:val="00F71AB1"/>
    <w:rsid w:val="00F71F69"/>
    <w:rsid w:val="00F72B72"/>
    <w:rsid w:val="00F730BB"/>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CC9"/>
    <w:rsid w:val="00FA2BB3"/>
    <w:rsid w:val="00FA609A"/>
    <w:rsid w:val="00FB4C80"/>
    <w:rsid w:val="00FB6A6A"/>
    <w:rsid w:val="00FC1858"/>
    <w:rsid w:val="00FC7429"/>
    <w:rsid w:val="00FC7B76"/>
    <w:rsid w:val="00FD0453"/>
    <w:rsid w:val="00FD07F6"/>
    <w:rsid w:val="00FD1EC8"/>
    <w:rsid w:val="00FD47ED"/>
    <w:rsid w:val="00FD74DB"/>
    <w:rsid w:val="00FD7660"/>
    <w:rsid w:val="00FE0655"/>
    <w:rsid w:val="00FE2365"/>
    <w:rsid w:val="00FE37D7"/>
    <w:rsid w:val="00FE4C7B"/>
    <w:rsid w:val="00FE7336"/>
    <w:rsid w:val="00FE787C"/>
    <w:rsid w:val="00FF3CB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55E20"/>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FD0453"/>
    <w:rPr>
      <w:color w:val="808080"/>
    </w:rPr>
  </w:style>
  <w:style w:type="character" w:customStyle="1" w:styleId="B1Char">
    <w:name w:val="B1 Char"/>
    <w:rsid w:val="00480F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3357</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2020-08-07T13:50:00Z</dcterms:created>
  <dcterms:modified xsi:type="dcterms:W3CDTF">2020-08-07T13:50:00Z</dcterms:modified>
  <cp:category/>
</cp:coreProperties>
</file>